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74" w:rsidRDefault="00C93E82" w:rsidP="005B6045">
      <w:pPr>
        <w:spacing w:afterLines="50" w:after="180" w:line="300" w:lineRule="exact"/>
        <w:jc w:val="center"/>
        <w:rPr>
          <w:rFonts w:ascii="標楷體" w:eastAsia="標楷體" w:hAnsi="標楷體" w:cs="Times New Roman"/>
          <w:b/>
          <w:spacing w:val="-6"/>
          <w:sz w:val="32"/>
          <w:szCs w:val="32"/>
        </w:rPr>
      </w:pPr>
      <w:r>
        <w:rPr>
          <w:rFonts w:ascii="標楷體" w:eastAsia="標楷體" w:hAnsi="標楷體" w:hint="eastAsia"/>
          <w:b/>
          <w:sz w:val="32"/>
          <w:szCs w:val="32"/>
        </w:rPr>
        <w:t>中小學及幼兒</w:t>
      </w:r>
      <w:r w:rsidR="00A071F7" w:rsidRPr="00A668A4">
        <w:rPr>
          <w:rFonts w:ascii="標楷體" w:eastAsia="標楷體" w:hAnsi="標楷體" w:hint="eastAsia"/>
          <w:b/>
          <w:sz w:val="32"/>
          <w:szCs w:val="32"/>
        </w:rPr>
        <w:t>園教師加班費性質鐘點費</w:t>
      </w:r>
      <w:bookmarkStart w:id="0" w:name="_GoBack"/>
      <w:r w:rsidR="00A071F7" w:rsidRPr="00A668A4">
        <w:rPr>
          <w:rFonts w:ascii="標楷體" w:eastAsia="標楷體" w:hAnsi="標楷體" w:hint="eastAsia"/>
          <w:b/>
          <w:sz w:val="32"/>
          <w:szCs w:val="32"/>
        </w:rPr>
        <w:t>一覽表</w:t>
      </w:r>
      <w:bookmarkEnd w:id="0"/>
      <w:r w:rsidR="005B6045">
        <w:rPr>
          <w:rFonts w:ascii="標楷體" w:eastAsia="標楷體" w:hAnsi="標楷體" w:cs="Times New Roman" w:hint="eastAsia"/>
          <w:b/>
          <w:spacing w:val="-6"/>
          <w:sz w:val="32"/>
          <w:szCs w:val="32"/>
        </w:rPr>
        <w:t>（</w:t>
      </w:r>
      <w:r w:rsidR="003A32D2">
        <w:rPr>
          <w:rFonts w:ascii="標楷體" w:eastAsia="標楷體" w:hAnsi="標楷體" w:cs="Times New Roman" w:hint="eastAsia"/>
          <w:b/>
          <w:spacing w:val="-6"/>
          <w:sz w:val="32"/>
          <w:szCs w:val="32"/>
        </w:rPr>
        <w:t>增</w:t>
      </w:r>
      <w:r w:rsidR="00816320">
        <w:rPr>
          <w:rFonts w:ascii="標楷體" w:eastAsia="標楷體" w:hAnsi="標楷體" w:cs="Times New Roman" w:hint="eastAsia"/>
          <w:b/>
          <w:spacing w:val="-6"/>
          <w:sz w:val="32"/>
          <w:szCs w:val="32"/>
        </w:rPr>
        <w:t>修</w:t>
      </w:r>
      <w:r w:rsidR="005B6045">
        <w:rPr>
          <w:rFonts w:ascii="標楷體" w:eastAsia="標楷體" w:hAnsi="標楷體" w:cs="Times New Roman" w:hint="eastAsia"/>
          <w:b/>
          <w:spacing w:val="-6"/>
          <w:sz w:val="32"/>
          <w:szCs w:val="32"/>
        </w:rPr>
        <w:t>相關依據</w:t>
      </w:r>
      <w:r w:rsidR="00816320" w:rsidRPr="00EE425D">
        <w:rPr>
          <w:rFonts w:ascii="標楷體" w:eastAsia="標楷體" w:hAnsi="標楷體" w:cs="Times New Roman" w:hint="eastAsia"/>
          <w:b/>
          <w:spacing w:val="-6"/>
          <w:sz w:val="32"/>
          <w:szCs w:val="32"/>
        </w:rPr>
        <w:t>）</w:t>
      </w:r>
    </w:p>
    <w:p w:rsidR="005B6045" w:rsidRPr="005B6045" w:rsidRDefault="005B6045" w:rsidP="005B6045">
      <w:pPr>
        <w:spacing w:afterLines="50" w:after="180" w:line="300" w:lineRule="exact"/>
        <w:jc w:val="right"/>
        <w:rPr>
          <w:rFonts w:ascii="標楷體" w:eastAsia="標楷體" w:hAnsi="標楷體"/>
          <w:szCs w:val="24"/>
        </w:rPr>
      </w:pPr>
      <w:r w:rsidRPr="005B6045">
        <w:rPr>
          <w:rFonts w:ascii="標楷體" w:eastAsia="標楷體" w:hAnsi="標楷體" w:cs="Times New Roman" w:hint="eastAsia"/>
          <w:spacing w:val="-6"/>
          <w:szCs w:val="24"/>
        </w:rPr>
        <w:t>教育部</w:t>
      </w:r>
      <w:r>
        <w:rPr>
          <w:rFonts w:ascii="標楷體" w:eastAsia="標楷體" w:hAnsi="標楷體" w:cs="Times New Roman" w:hint="eastAsia"/>
          <w:spacing w:val="-6"/>
          <w:szCs w:val="24"/>
        </w:rPr>
        <w:t>106年</w:t>
      </w:r>
      <w:r w:rsidR="00E714E1">
        <w:rPr>
          <w:rFonts w:ascii="標楷體" w:eastAsia="標楷體" w:hAnsi="標楷體" w:cs="Times New Roman" w:hint="eastAsia"/>
          <w:spacing w:val="-6"/>
          <w:szCs w:val="24"/>
        </w:rPr>
        <w:t>1</w:t>
      </w:r>
      <w:r w:rsidR="00E714E1">
        <w:rPr>
          <w:rFonts w:ascii="標楷體" w:eastAsia="標楷體" w:hAnsi="標楷體" w:cs="Times New Roman"/>
          <w:spacing w:val="-6"/>
          <w:szCs w:val="24"/>
        </w:rPr>
        <w:t>2</w:t>
      </w:r>
      <w:r>
        <w:rPr>
          <w:rFonts w:ascii="標楷體" w:eastAsia="標楷體" w:hAnsi="標楷體" w:cs="Times New Roman" w:hint="eastAsia"/>
          <w:spacing w:val="-6"/>
          <w:szCs w:val="24"/>
        </w:rPr>
        <w:t>月</w:t>
      </w:r>
      <w:r w:rsidR="004A6094">
        <w:rPr>
          <w:rFonts w:ascii="標楷體" w:eastAsia="標楷體" w:hAnsi="標楷體" w:cs="Times New Roman"/>
          <w:spacing w:val="-6"/>
          <w:szCs w:val="24"/>
        </w:rPr>
        <w:t>5</w:t>
      </w:r>
      <w:r>
        <w:rPr>
          <w:rFonts w:ascii="標楷體" w:eastAsia="標楷體" w:hAnsi="標楷體" w:cs="Times New Roman" w:hint="eastAsia"/>
          <w:spacing w:val="-6"/>
          <w:szCs w:val="24"/>
        </w:rPr>
        <w:t>日</w:t>
      </w:r>
      <w:r w:rsidR="00DF59E2" w:rsidRPr="00DF59E2">
        <w:rPr>
          <w:rFonts w:ascii="標楷體" w:eastAsia="標楷體" w:hAnsi="標楷體" w:cs="Times New Roman" w:hint="eastAsia"/>
          <w:spacing w:val="-6"/>
          <w:szCs w:val="24"/>
        </w:rPr>
        <w:t>臺教授國字第1060132630號</w:t>
      </w:r>
      <w:r w:rsidRPr="005B6045">
        <w:rPr>
          <w:rFonts w:ascii="標楷體" w:eastAsia="標楷體" w:hAnsi="標楷體" w:cs="Times New Roman" w:hint="eastAsia"/>
          <w:spacing w:val="-6"/>
          <w:szCs w:val="24"/>
        </w:rPr>
        <w:t>函</w:t>
      </w:r>
    </w:p>
    <w:tbl>
      <w:tblPr>
        <w:tblStyle w:val="a3"/>
        <w:tblW w:w="10762" w:type="dxa"/>
        <w:tblLook w:val="04A0" w:firstRow="1" w:lastRow="0" w:firstColumn="1" w:lastColumn="0" w:noHBand="0" w:noVBand="1"/>
      </w:tblPr>
      <w:tblGrid>
        <w:gridCol w:w="803"/>
        <w:gridCol w:w="2242"/>
        <w:gridCol w:w="2331"/>
        <w:gridCol w:w="2735"/>
        <w:gridCol w:w="2651"/>
      </w:tblGrid>
      <w:tr w:rsidR="00476254" w:rsidRPr="005B6045" w:rsidTr="00476254">
        <w:trPr>
          <w:trHeight w:val="513"/>
        </w:trPr>
        <w:tc>
          <w:tcPr>
            <w:tcW w:w="803" w:type="dxa"/>
            <w:vAlign w:val="center"/>
          </w:tcPr>
          <w:p w:rsidR="00476254" w:rsidRPr="005B6045" w:rsidRDefault="00476254" w:rsidP="00B12C0B">
            <w:pPr>
              <w:spacing w:line="360" w:lineRule="exact"/>
              <w:jc w:val="center"/>
              <w:rPr>
                <w:rFonts w:ascii="標楷體" w:eastAsia="標楷體" w:hAnsi="標楷體"/>
                <w:szCs w:val="24"/>
              </w:rPr>
            </w:pPr>
            <w:r w:rsidRPr="005B6045">
              <w:rPr>
                <w:rFonts w:ascii="標楷體" w:eastAsia="標楷體" w:hAnsi="標楷體" w:hint="eastAsia"/>
                <w:szCs w:val="24"/>
              </w:rPr>
              <w:t>類別</w:t>
            </w:r>
          </w:p>
        </w:tc>
        <w:tc>
          <w:tcPr>
            <w:tcW w:w="2242" w:type="dxa"/>
            <w:vAlign w:val="center"/>
          </w:tcPr>
          <w:p w:rsidR="00476254" w:rsidRPr="005B6045" w:rsidRDefault="00476254" w:rsidP="00B12C0B">
            <w:pPr>
              <w:spacing w:line="360" w:lineRule="exact"/>
              <w:jc w:val="center"/>
              <w:rPr>
                <w:rFonts w:ascii="標楷體" w:eastAsia="標楷體" w:hAnsi="標楷體"/>
                <w:szCs w:val="24"/>
              </w:rPr>
            </w:pPr>
            <w:r w:rsidRPr="005B6045">
              <w:rPr>
                <w:rFonts w:ascii="標楷體" w:eastAsia="標楷體" w:hAnsi="標楷體" w:hint="eastAsia"/>
                <w:szCs w:val="24"/>
              </w:rPr>
              <w:t>項目</w:t>
            </w:r>
          </w:p>
        </w:tc>
        <w:tc>
          <w:tcPr>
            <w:tcW w:w="2331" w:type="dxa"/>
            <w:vAlign w:val="center"/>
          </w:tcPr>
          <w:p w:rsidR="00476254" w:rsidRPr="005B6045" w:rsidRDefault="00476254" w:rsidP="00B12C0B">
            <w:pPr>
              <w:spacing w:line="360" w:lineRule="exact"/>
              <w:jc w:val="center"/>
              <w:rPr>
                <w:rFonts w:ascii="標楷體" w:eastAsia="標楷體" w:hAnsi="標楷體"/>
                <w:szCs w:val="24"/>
              </w:rPr>
            </w:pPr>
            <w:r w:rsidRPr="005B6045">
              <w:rPr>
                <w:rFonts w:ascii="標楷體" w:eastAsia="標楷體" w:hAnsi="標楷體" w:hint="eastAsia"/>
                <w:szCs w:val="24"/>
              </w:rPr>
              <w:t>相關規定</w:t>
            </w:r>
          </w:p>
        </w:tc>
        <w:tc>
          <w:tcPr>
            <w:tcW w:w="2735" w:type="dxa"/>
            <w:vAlign w:val="center"/>
          </w:tcPr>
          <w:p w:rsidR="00476254" w:rsidRPr="005B6045" w:rsidRDefault="00476254" w:rsidP="00B12C0B">
            <w:pPr>
              <w:spacing w:line="360" w:lineRule="exact"/>
              <w:jc w:val="center"/>
              <w:rPr>
                <w:rFonts w:ascii="標楷體" w:eastAsia="標楷體" w:hAnsi="標楷體"/>
                <w:szCs w:val="24"/>
              </w:rPr>
            </w:pPr>
            <w:r w:rsidRPr="005B6045">
              <w:rPr>
                <w:rFonts w:ascii="標楷體" w:eastAsia="標楷體" w:hAnsi="標楷體" w:hint="eastAsia"/>
                <w:szCs w:val="24"/>
              </w:rPr>
              <w:t>支給標準</w:t>
            </w:r>
          </w:p>
        </w:tc>
        <w:tc>
          <w:tcPr>
            <w:tcW w:w="2651" w:type="dxa"/>
            <w:vAlign w:val="center"/>
          </w:tcPr>
          <w:p w:rsidR="00476254" w:rsidRPr="005B6045" w:rsidRDefault="00F71593" w:rsidP="00F71593">
            <w:pPr>
              <w:spacing w:line="360" w:lineRule="exact"/>
              <w:jc w:val="center"/>
              <w:rPr>
                <w:rFonts w:ascii="標楷體" w:eastAsia="標楷體" w:hAnsi="標楷體"/>
                <w:szCs w:val="24"/>
              </w:rPr>
            </w:pPr>
            <w:r>
              <w:rPr>
                <w:rFonts w:ascii="標楷體" w:eastAsia="標楷體" w:hAnsi="標楷體" w:hint="eastAsia"/>
                <w:szCs w:val="24"/>
              </w:rPr>
              <w:t>增</w:t>
            </w:r>
            <w:r w:rsidR="00476254">
              <w:rPr>
                <w:rFonts w:ascii="標楷體" w:eastAsia="標楷體" w:hAnsi="標楷體" w:hint="eastAsia"/>
                <w:szCs w:val="24"/>
              </w:rPr>
              <w:t>修說明</w:t>
            </w:r>
          </w:p>
        </w:tc>
      </w:tr>
      <w:tr w:rsidR="00476254" w:rsidRPr="005B6045" w:rsidTr="00476254">
        <w:trPr>
          <w:trHeight w:val="2121"/>
        </w:trPr>
        <w:tc>
          <w:tcPr>
            <w:tcW w:w="803" w:type="dxa"/>
            <w:vMerge w:val="restart"/>
            <w:vAlign w:val="center"/>
          </w:tcPr>
          <w:p w:rsidR="00476254" w:rsidRPr="005B6045" w:rsidRDefault="00476254" w:rsidP="00B12C0B">
            <w:pPr>
              <w:spacing w:line="360" w:lineRule="exact"/>
              <w:jc w:val="center"/>
              <w:rPr>
                <w:rFonts w:ascii="標楷體" w:eastAsia="標楷體" w:hAnsi="標楷體"/>
                <w:szCs w:val="24"/>
              </w:rPr>
            </w:pPr>
            <w:r w:rsidRPr="005B6045">
              <w:rPr>
                <w:rFonts w:ascii="標楷體" w:eastAsia="標楷體" w:hAnsi="標楷體" w:hint="eastAsia"/>
                <w:szCs w:val="24"/>
              </w:rPr>
              <w:t>課後照顧</w:t>
            </w:r>
          </w:p>
        </w:tc>
        <w:tc>
          <w:tcPr>
            <w:tcW w:w="2242" w:type="dxa"/>
            <w:vAlign w:val="center"/>
          </w:tcPr>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幼兒園</w:t>
            </w:r>
          </w:p>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兒童課後留園鐘點費</w:t>
            </w:r>
          </w:p>
        </w:tc>
        <w:tc>
          <w:tcPr>
            <w:tcW w:w="2331" w:type="dxa"/>
            <w:vAlign w:val="center"/>
          </w:tcPr>
          <w:p w:rsidR="00476254" w:rsidRPr="005B6045" w:rsidRDefault="00476254" w:rsidP="00B12C0B">
            <w:pPr>
              <w:spacing w:line="360" w:lineRule="exact"/>
              <w:ind w:left="233" w:hangingChars="97" w:hanging="233"/>
              <w:jc w:val="both"/>
              <w:rPr>
                <w:rFonts w:ascii="標楷體" w:eastAsia="標楷體" w:hAnsi="標楷體"/>
                <w:szCs w:val="24"/>
              </w:rPr>
            </w:pPr>
            <w:r w:rsidRPr="005B6045">
              <w:rPr>
                <w:rFonts w:ascii="標楷體" w:eastAsia="標楷體" w:hAnsi="標楷體"/>
                <w:szCs w:val="24"/>
              </w:rPr>
              <w:t>1.</w:t>
            </w:r>
            <w:r w:rsidRPr="005B6045">
              <w:rPr>
                <w:rFonts w:ascii="標楷體" w:eastAsia="標楷體" w:hAnsi="標楷體" w:hint="eastAsia"/>
                <w:szCs w:val="24"/>
              </w:rPr>
              <w:t>教育部國民及學前教育署補助公立幼兒園及非營利幼兒園辦理課後留園服務作業要點</w:t>
            </w:r>
          </w:p>
          <w:p w:rsidR="00476254" w:rsidRPr="005B6045" w:rsidRDefault="00476254" w:rsidP="00B12C0B">
            <w:pPr>
              <w:spacing w:line="360" w:lineRule="exact"/>
              <w:ind w:left="233" w:hangingChars="97" w:hanging="233"/>
              <w:jc w:val="both"/>
              <w:rPr>
                <w:rFonts w:ascii="標楷體" w:eastAsia="標楷體" w:hAnsi="標楷體"/>
                <w:szCs w:val="24"/>
              </w:rPr>
            </w:pPr>
            <w:r w:rsidRPr="005B6045">
              <w:rPr>
                <w:rFonts w:ascii="標楷體" w:eastAsia="標楷體" w:hAnsi="標楷體" w:hint="eastAsia"/>
                <w:szCs w:val="24"/>
              </w:rPr>
              <w:t>2.各地方政府亦得訂定相關規定以延長服務</w:t>
            </w:r>
          </w:p>
        </w:tc>
        <w:tc>
          <w:tcPr>
            <w:tcW w:w="2735" w:type="dxa"/>
            <w:vAlign w:val="center"/>
          </w:tcPr>
          <w:p w:rsidR="00476254" w:rsidRPr="005B6045" w:rsidRDefault="00476254" w:rsidP="00B12C0B">
            <w:pPr>
              <w:spacing w:line="360" w:lineRule="exact"/>
              <w:jc w:val="both"/>
              <w:rPr>
                <w:rFonts w:ascii="標楷體" w:eastAsia="標楷體" w:hAnsi="標楷體"/>
                <w:szCs w:val="24"/>
                <w:u w:val="single"/>
              </w:rPr>
            </w:pPr>
            <w:r w:rsidRPr="005B6045">
              <w:rPr>
                <w:rFonts w:ascii="標楷體" w:eastAsia="標楷體" w:hAnsi="標楷體" w:hint="eastAsia"/>
                <w:szCs w:val="24"/>
                <w:u w:val="single"/>
              </w:rPr>
              <w:t>依「兒童課後照顧服務班與中心設立及管理辦法」由直轄市、縣（市）主管機關依規定本權責訂定</w:t>
            </w:r>
          </w:p>
        </w:tc>
        <w:tc>
          <w:tcPr>
            <w:tcW w:w="2651" w:type="dxa"/>
          </w:tcPr>
          <w:p w:rsidR="00476254" w:rsidRPr="009114EF" w:rsidRDefault="00476254" w:rsidP="00B12C0B">
            <w:pPr>
              <w:spacing w:line="360" w:lineRule="exact"/>
              <w:jc w:val="both"/>
              <w:rPr>
                <w:rFonts w:ascii="標楷體" w:eastAsia="標楷體" w:hAnsi="標楷體"/>
                <w:szCs w:val="24"/>
              </w:rPr>
            </w:pPr>
            <w:r w:rsidRPr="009114EF">
              <w:rPr>
                <w:rFonts w:ascii="標楷體" w:eastAsia="標楷體" w:hAnsi="標楷體" w:hint="eastAsia"/>
                <w:szCs w:val="24"/>
              </w:rPr>
              <w:t>「國民小學辦理兒童課後照顧服務及人員資格標準」更名為「兒童課後照顧服務班與中心設立及管理辦法」</w:t>
            </w:r>
            <w:r w:rsidR="009114EF" w:rsidRPr="009114EF">
              <w:rPr>
                <w:rFonts w:ascii="標楷體" w:eastAsia="標楷體" w:hAnsi="標楷體" w:hint="eastAsia"/>
                <w:szCs w:val="24"/>
              </w:rPr>
              <w:t>，爰修正支給標準名稱，並由直轄市、縣（市）主管機關依規定本權責訂定。</w:t>
            </w:r>
          </w:p>
        </w:tc>
      </w:tr>
      <w:tr w:rsidR="00476254" w:rsidRPr="005B6045" w:rsidTr="00476254">
        <w:trPr>
          <w:trHeight w:val="1119"/>
        </w:trPr>
        <w:tc>
          <w:tcPr>
            <w:tcW w:w="803" w:type="dxa"/>
            <w:vMerge/>
            <w:vAlign w:val="center"/>
          </w:tcPr>
          <w:p w:rsidR="00476254" w:rsidRPr="005B6045" w:rsidRDefault="00476254" w:rsidP="00B12C0B">
            <w:pPr>
              <w:spacing w:line="360" w:lineRule="exact"/>
              <w:jc w:val="center"/>
              <w:rPr>
                <w:rFonts w:ascii="標楷體" w:eastAsia="標楷體" w:hAnsi="標楷體"/>
                <w:szCs w:val="24"/>
              </w:rPr>
            </w:pPr>
          </w:p>
        </w:tc>
        <w:tc>
          <w:tcPr>
            <w:tcW w:w="2242" w:type="dxa"/>
            <w:vAlign w:val="center"/>
          </w:tcPr>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國民小學</w:t>
            </w:r>
          </w:p>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兒童課後照顧人員鐘點費</w:t>
            </w:r>
          </w:p>
        </w:tc>
        <w:tc>
          <w:tcPr>
            <w:tcW w:w="2331" w:type="dxa"/>
            <w:vAlign w:val="center"/>
          </w:tcPr>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兒童課後照顧服務班與中心設立及管理辦法</w:t>
            </w:r>
          </w:p>
        </w:tc>
        <w:tc>
          <w:tcPr>
            <w:tcW w:w="2735" w:type="dxa"/>
            <w:vAlign w:val="center"/>
          </w:tcPr>
          <w:p w:rsidR="00476254" w:rsidRPr="005B6045" w:rsidRDefault="00476254" w:rsidP="00B12C0B">
            <w:pPr>
              <w:spacing w:line="360" w:lineRule="exact"/>
              <w:jc w:val="both"/>
              <w:rPr>
                <w:rFonts w:ascii="標楷體" w:eastAsia="標楷體" w:hAnsi="標楷體"/>
                <w:szCs w:val="24"/>
                <w:u w:val="single"/>
              </w:rPr>
            </w:pPr>
            <w:r w:rsidRPr="005B6045">
              <w:rPr>
                <w:rFonts w:ascii="標楷體" w:eastAsia="標楷體" w:hAnsi="標楷體" w:hint="eastAsia"/>
                <w:szCs w:val="24"/>
                <w:u w:val="single"/>
              </w:rPr>
              <w:t>由直轄市、縣（市）主管機關依規定本權責訂定</w:t>
            </w:r>
          </w:p>
        </w:tc>
        <w:tc>
          <w:tcPr>
            <w:tcW w:w="2651" w:type="dxa"/>
          </w:tcPr>
          <w:p w:rsidR="00476254" w:rsidRPr="009114EF" w:rsidRDefault="00D172D0" w:rsidP="009114EF">
            <w:pPr>
              <w:spacing w:line="360" w:lineRule="exact"/>
              <w:jc w:val="both"/>
              <w:rPr>
                <w:rFonts w:ascii="標楷體" w:eastAsia="標楷體" w:hAnsi="標楷體"/>
                <w:szCs w:val="24"/>
              </w:rPr>
            </w:pPr>
            <w:r>
              <w:rPr>
                <w:rFonts w:ascii="標楷體" w:eastAsia="標楷體" w:hAnsi="標楷體" w:hint="eastAsia"/>
                <w:szCs w:val="24"/>
              </w:rPr>
              <w:t>查</w:t>
            </w:r>
            <w:r w:rsidR="009114EF" w:rsidRPr="009114EF">
              <w:rPr>
                <w:rFonts w:ascii="標楷體" w:eastAsia="標楷體" w:hAnsi="標楷體" w:hint="eastAsia"/>
                <w:szCs w:val="24"/>
              </w:rPr>
              <w:t>兒童課後照顧服務班與中心設立及管理辦法僅訂有公立課後照顧服務班收費基準，未明確規定課後照顧服務人員得支領鐘點費之數額，爰修正支給標準為「由直轄市、縣（市）主管機關依規定本權責訂定」。</w:t>
            </w:r>
          </w:p>
        </w:tc>
      </w:tr>
      <w:tr w:rsidR="00476254" w:rsidRPr="005B6045" w:rsidTr="00D172D0">
        <w:trPr>
          <w:trHeight w:val="1119"/>
        </w:trPr>
        <w:tc>
          <w:tcPr>
            <w:tcW w:w="803" w:type="dxa"/>
            <w:vMerge w:val="restart"/>
            <w:vAlign w:val="center"/>
          </w:tcPr>
          <w:p w:rsidR="00476254" w:rsidRPr="005B6045" w:rsidRDefault="00476254" w:rsidP="00B12C0B">
            <w:pPr>
              <w:spacing w:line="360" w:lineRule="exact"/>
              <w:jc w:val="center"/>
              <w:rPr>
                <w:rFonts w:ascii="標楷體" w:eastAsia="標楷體" w:hAnsi="標楷體"/>
                <w:szCs w:val="24"/>
              </w:rPr>
            </w:pPr>
            <w:r w:rsidRPr="005B6045">
              <w:rPr>
                <w:rFonts w:ascii="標楷體" w:eastAsia="標楷體" w:hAnsi="標楷體" w:hint="eastAsia"/>
                <w:szCs w:val="24"/>
              </w:rPr>
              <w:t>課後輔導</w:t>
            </w:r>
          </w:p>
        </w:tc>
        <w:tc>
          <w:tcPr>
            <w:tcW w:w="2242" w:type="dxa"/>
            <w:vAlign w:val="center"/>
          </w:tcPr>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國民中學</w:t>
            </w:r>
          </w:p>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第8節課後輔導鐘點費</w:t>
            </w:r>
          </w:p>
        </w:tc>
        <w:tc>
          <w:tcPr>
            <w:tcW w:w="2331" w:type="dxa"/>
            <w:vAlign w:val="center"/>
          </w:tcPr>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國中課後輔導與留校自習之原則</w:t>
            </w:r>
          </w:p>
        </w:tc>
        <w:tc>
          <w:tcPr>
            <w:tcW w:w="2735" w:type="dxa"/>
            <w:vAlign w:val="center"/>
          </w:tcPr>
          <w:p w:rsidR="00476254" w:rsidRPr="005B6045" w:rsidRDefault="00476254" w:rsidP="00B12C0B">
            <w:pPr>
              <w:spacing w:line="360" w:lineRule="exact"/>
              <w:jc w:val="both"/>
              <w:rPr>
                <w:rFonts w:ascii="標楷體" w:eastAsia="標楷體" w:hAnsi="標楷體"/>
                <w:szCs w:val="24"/>
              </w:rPr>
            </w:pPr>
            <w:r w:rsidRPr="005B6045">
              <w:rPr>
                <w:rFonts w:ascii="標楷體" w:eastAsia="標楷體" w:hAnsi="標楷體" w:hint="eastAsia"/>
                <w:szCs w:val="24"/>
              </w:rPr>
              <w:t>由地方政府本權責訂定適宜收費標準（每節新臺幣400至450元）</w:t>
            </w:r>
          </w:p>
        </w:tc>
        <w:tc>
          <w:tcPr>
            <w:tcW w:w="2651" w:type="dxa"/>
            <w:vAlign w:val="center"/>
          </w:tcPr>
          <w:p w:rsidR="00476254" w:rsidRPr="005B6045" w:rsidRDefault="009114EF" w:rsidP="00B12C0B">
            <w:pPr>
              <w:spacing w:line="360" w:lineRule="exact"/>
              <w:jc w:val="both"/>
              <w:rPr>
                <w:rFonts w:ascii="標楷體" w:eastAsia="標楷體" w:hAnsi="標楷體"/>
                <w:szCs w:val="24"/>
              </w:rPr>
            </w:pPr>
            <w:r>
              <w:rPr>
                <w:rFonts w:ascii="標楷體" w:eastAsia="標楷體" w:hAnsi="標楷體" w:hint="eastAsia"/>
                <w:szCs w:val="24"/>
              </w:rPr>
              <w:t>未修正</w:t>
            </w:r>
          </w:p>
        </w:tc>
      </w:tr>
      <w:tr w:rsidR="009114EF" w:rsidRPr="005B6045" w:rsidTr="007975AA">
        <w:trPr>
          <w:trHeight w:val="1215"/>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高級中等學校</w:t>
            </w:r>
          </w:p>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第8節課後輔導鐘點費</w:t>
            </w:r>
          </w:p>
        </w:tc>
        <w:tc>
          <w:tcPr>
            <w:tcW w:w="2331"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高級中等學校課業輔導實施要點、各主管教育行政機關所定課業輔導實施相關規定</w:t>
            </w:r>
          </w:p>
        </w:tc>
        <w:tc>
          <w:tcPr>
            <w:tcW w:w="2735"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每節新臺幣400至550元額度內支給</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7975AA">
        <w:trPr>
          <w:trHeight w:val="1941"/>
        </w:trPr>
        <w:tc>
          <w:tcPr>
            <w:tcW w:w="803" w:type="dxa"/>
            <w:vMerge w:val="restart"/>
            <w:vAlign w:val="center"/>
          </w:tcPr>
          <w:p w:rsidR="009114EF" w:rsidRPr="005B6045" w:rsidRDefault="009114EF" w:rsidP="009114EF">
            <w:pPr>
              <w:spacing w:line="360" w:lineRule="exact"/>
              <w:jc w:val="center"/>
              <w:rPr>
                <w:rFonts w:ascii="標楷體" w:eastAsia="標楷體" w:hAnsi="標楷體"/>
                <w:szCs w:val="24"/>
              </w:rPr>
            </w:pPr>
            <w:r w:rsidRPr="005B6045">
              <w:rPr>
                <w:rFonts w:ascii="標楷體" w:eastAsia="標楷體" w:hAnsi="標楷體" w:hint="eastAsia"/>
                <w:szCs w:val="24"/>
              </w:rPr>
              <w:t>補習及</w:t>
            </w:r>
          </w:p>
          <w:p w:rsidR="009114EF" w:rsidRPr="005B6045" w:rsidRDefault="009114EF" w:rsidP="009114EF">
            <w:pPr>
              <w:spacing w:line="360" w:lineRule="exact"/>
              <w:jc w:val="center"/>
              <w:rPr>
                <w:rFonts w:ascii="標楷體" w:eastAsia="標楷體" w:hAnsi="標楷體"/>
                <w:szCs w:val="24"/>
              </w:rPr>
            </w:pPr>
            <w:r w:rsidRPr="005B6045">
              <w:rPr>
                <w:rFonts w:ascii="標楷體" w:eastAsia="標楷體" w:hAnsi="標楷體" w:hint="eastAsia"/>
                <w:szCs w:val="24"/>
              </w:rPr>
              <w:t>進修部（學校）</w:t>
            </w:r>
          </w:p>
        </w:tc>
        <w:tc>
          <w:tcPr>
            <w:tcW w:w="2242"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補習學校</w:t>
            </w:r>
          </w:p>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教師鐘點費</w:t>
            </w:r>
          </w:p>
        </w:tc>
        <w:tc>
          <w:tcPr>
            <w:tcW w:w="2331" w:type="dxa"/>
            <w:vMerge w:val="restart"/>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補習及進修教育法、公立中小學兼任及代課教師鐘點費支給基準</w:t>
            </w:r>
          </w:p>
        </w:tc>
        <w:tc>
          <w:tcPr>
            <w:tcW w:w="2735" w:type="dxa"/>
            <w:vAlign w:val="center"/>
          </w:tcPr>
          <w:p w:rsidR="009114EF" w:rsidRPr="005B6045" w:rsidRDefault="009114EF" w:rsidP="009114EF">
            <w:pPr>
              <w:spacing w:line="360" w:lineRule="exact"/>
              <w:ind w:left="233" w:hangingChars="97" w:hanging="233"/>
              <w:jc w:val="both"/>
              <w:rPr>
                <w:rFonts w:ascii="標楷體" w:eastAsia="標楷體" w:hAnsi="標楷體"/>
                <w:szCs w:val="24"/>
              </w:rPr>
            </w:pPr>
            <w:r w:rsidRPr="005B6045">
              <w:rPr>
                <w:rFonts w:ascii="標楷體" w:eastAsia="標楷體" w:hAnsi="標楷體" w:hint="eastAsia"/>
                <w:szCs w:val="24"/>
              </w:rPr>
              <w:t>1.國民小學附設補習學校：每節新臺幣260元</w:t>
            </w:r>
          </w:p>
          <w:p w:rsidR="009114EF" w:rsidRPr="005B6045" w:rsidRDefault="009114EF" w:rsidP="009114EF">
            <w:pPr>
              <w:spacing w:line="360" w:lineRule="exact"/>
              <w:ind w:left="233" w:hangingChars="97" w:hanging="233"/>
              <w:jc w:val="both"/>
              <w:rPr>
                <w:rFonts w:ascii="標楷體" w:eastAsia="標楷體" w:hAnsi="標楷體"/>
                <w:szCs w:val="24"/>
              </w:rPr>
            </w:pPr>
            <w:r w:rsidRPr="005B6045">
              <w:rPr>
                <w:rFonts w:ascii="標楷體" w:eastAsia="標楷體" w:hAnsi="標楷體" w:hint="eastAsia"/>
                <w:szCs w:val="24"/>
              </w:rPr>
              <w:t>2.國民中學附設補習學校：每節新臺幣360元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7975AA">
        <w:trPr>
          <w:trHeight w:val="1119"/>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進修部（學校）</w:t>
            </w:r>
          </w:p>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教師鐘點費</w:t>
            </w:r>
          </w:p>
        </w:tc>
        <w:tc>
          <w:tcPr>
            <w:tcW w:w="2331" w:type="dxa"/>
            <w:vMerge/>
            <w:vAlign w:val="center"/>
          </w:tcPr>
          <w:p w:rsidR="009114EF" w:rsidRPr="005B6045" w:rsidRDefault="009114EF" w:rsidP="009114EF">
            <w:pPr>
              <w:spacing w:line="360" w:lineRule="exact"/>
              <w:jc w:val="both"/>
              <w:rPr>
                <w:rFonts w:ascii="標楷體" w:eastAsia="標楷體" w:hAnsi="標楷體"/>
                <w:szCs w:val="24"/>
              </w:rPr>
            </w:pPr>
          </w:p>
        </w:tc>
        <w:tc>
          <w:tcPr>
            <w:tcW w:w="2735"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高級中等學校附設進修學校：每節新臺幣400元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E545C1">
        <w:trPr>
          <w:trHeight w:val="1349"/>
        </w:trPr>
        <w:tc>
          <w:tcPr>
            <w:tcW w:w="803" w:type="dxa"/>
            <w:vMerge w:val="restart"/>
            <w:vAlign w:val="center"/>
          </w:tcPr>
          <w:p w:rsidR="009114EF" w:rsidRPr="005B6045" w:rsidRDefault="009114EF" w:rsidP="009114EF">
            <w:pPr>
              <w:spacing w:line="360" w:lineRule="exact"/>
              <w:jc w:val="center"/>
              <w:rPr>
                <w:rFonts w:ascii="標楷體" w:eastAsia="標楷體" w:hAnsi="標楷體"/>
                <w:szCs w:val="24"/>
              </w:rPr>
            </w:pPr>
            <w:r w:rsidRPr="005B6045">
              <w:rPr>
                <w:rFonts w:ascii="標楷體" w:eastAsia="標楷體" w:hAnsi="標楷體" w:hint="eastAsia"/>
                <w:szCs w:val="24"/>
              </w:rPr>
              <w:lastRenderedPageBreak/>
              <w:t>專案計畫</w:t>
            </w:r>
          </w:p>
        </w:tc>
        <w:tc>
          <w:tcPr>
            <w:tcW w:w="2242"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國民小學及國民中學補救教學實施方案課後鐘點費</w:t>
            </w:r>
          </w:p>
        </w:tc>
        <w:tc>
          <w:tcPr>
            <w:tcW w:w="2331"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教育部國民及學前教育署補助國民中小學及幼兒園弱勢學生實施要點</w:t>
            </w:r>
          </w:p>
        </w:tc>
        <w:tc>
          <w:tcPr>
            <w:tcW w:w="2735"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國民小學每節新臺幣400元；國民中學每節新臺幣450元。</w:t>
            </w:r>
          </w:p>
        </w:tc>
        <w:tc>
          <w:tcPr>
            <w:tcW w:w="2651" w:type="dxa"/>
            <w:vAlign w:val="center"/>
          </w:tcPr>
          <w:p w:rsidR="009114EF" w:rsidRPr="006175DA" w:rsidRDefault="009114EF" w:rsidP="009114EF">
            <w:pPr>
              <w:spacing w:line="360" w:lineRule="exact"/>
              <w:jc w:val="both"/>
              <w:rPr>
                <w:rFonts w:ascii="標楷體" w:eastAsia="標楷體" w:hAnsi="標楷體"/>
                <w:szCs w:val="24"/>
              </w:rPr>
            </w:pPr>
            <w:r w:rsidRPr="006175DA">
              <w:rPr>
                <w:rFonts w:ascii="標楷體" w:eastAsia="標楷體" w:hAnsi="標楷體" w:hint="eastAsia"/>
                <w:szCs w:val="24"/>
              </w:rPr>
              <w:t>未修正</w:t>
            </w:r>
          </w:p>
        </w:tc>
      </w:tr>
      <w:tr w:rsidR="009114EF" w:rsidRPr="005B6045" w:rsidTr="00E545C1">
        <w:trPr>
          <w:trHeight w:val="844"/>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夜光天使點燈專案計畫鐘點費</w:t>
            </w:r>
          </w:p>
        </w:tc>
        <w:tc>
          <w:tcPr>
            <w:tcW w:w="2331"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教育部推動夜光天使點燈專案計畫</w:t>
            </w:r>
          </w:p>
        </w:tc>
        <w:tc>
          <w:tcPr>
            <w:tcW w:w="2735" w:type="dxa"/>
            <w:vAlign w:val="center"/>
          </w:tcPr>
          <w:p w:rsidR="009114EF" w:rsidRPr="005B6045" w:rsidRDefault="009114EF" w:rsidP="009114EF">
            <w:pPr>
              <w:spacing w:line="360" w:lineRule="exact"/>
              <w:jc w:val="both"/>
              <w:rPr>
                <w:rFonts w:ascii="標楷體" w:eastAsia="標楷體" w:hAnsi="標楷體"/>
                <w:szCs w:val="24"/>
              </w:rPr>
            </w:pPr>
            <w:r w:rsidRPr="005B6045">
              <w:rPr>
                <w:rFonts w:ascii="標楷體" w:eastAsia="標楷體" w:hAnsi="標楷體" w:hint="eastAsia"/>
                <w:szCs w:val="24"/>
              </w:rPr>
              <w:t>每節400元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E545C1">
        <w:trPr>
          <w:trHeight w:val="844"/>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友善校園高關懷課程</w:t>
            </w:r>
          </w:p>
        </w:tc>
        <w:tc>
          <w:tcPr>
            <w:tcW w:w="2331"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zCs w:val="24"/>
              </w:rPr>
            </w:pPr>
            <w:r w:rsidRPr="005B6045">
              <w:rPr>
                <w:rFonts w:ascii="Times New Roman" w:eastAsia="標楷體" w:hAnsi="Times New Roman" w:cs="Times New Roman"/>
                <w:szCs w:val="24"/>
              </w:rPr>
              <w:t>預防中輟高關懷課程計畫</w:t>
            </w:r>
          </w:p>
        </w:tc>
        <w:tc>
          <w:tcPr>
            <w:tcW w:w="2735"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國民中學每節新臺幣</w:t>
            </w:r>
            <w:r w:rsidRPr="005B6045">
              <w:rPr>
                <w:rFonts w:ascii="Times New Roman" w:eastAsia="標楷體" w:hAnsi="Times New Roman" w:cs="Times New Roman"/>
                <w:spacing w:val="-6"/>
                <w:szCs w:val="24"/>
              </w:rPr>
              <w:t>360</w:t>
            </w:r>
            <w:r w:rsidRPr="005B6045">
              <w:rPr>
                <w:rFonts w:ascii="Times New Roman" w:eastAsia="標楷體" w:hAnsi="Times New Roman" w:cs="Times New Roman"/>
                <w:spacing w:val="-6"/>
                <w:szCs w:val="24"/>
              </w:rPr>
              <w:t>元；國民小學每節新臺幣</w:t>
            </w:r>
            <w:r w:rsidRPr="005B6045">
              <w:rPr>
                <w:rFonts w:ascii="Times New Roman" w:eastAsia="標楷體" w:hAnsi="Times New Roman" w:cs="Times New Roman"/>
                <w:spacing w:val="-6"/>
                <w:szCs w:val="24"/>
              </w:rPr>
              <w:t>260</w:t>
            </w:r>
            <w:r w:rsidRPr="005B6045">
              <w:rPr>
                <w:rFonts w:ascii="Times New Roman" w:eastAsia="標楷體" w:hAnsi="Times New Roman" w:cs="Times New Roman"/>
                <w:spacing w:val="-6"/>
                <w:szCs w:val="24"/>
              </w:rPr>
              <w:t>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E545C1">
        <w:trPr>
          <w:trHeight w:val="844"/>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國民中小學慈輝班</w:t>
            </w:r>
          </w:p>
        </w:tc>
        <w:tc>
          <w:tcPr>
            <w:tcW w:w="2331"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bCs/>
                <w:spacing w:val="-6"/>
                <w:szCs w:val="24"/>
              </w:rPr>
              <w:t>國民中小學慈輝班實施計畫</w:t>
            </w:r>
          </w:p>
        </w:tc>
        <w:tc>
          <w:tcPr>
            <w:tcW w:w="2735"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國民中學每節新臺幣</w:t>
            </w:r>
            <w:r w:rsidRPr="005B6045">
              <w:rPr>
                <w:rFonts w:ascii="Times New Roman" w:eastAsia="標楷體" w:hAnsi="Times New Roman" w:cs="Times New Roman"/>
                <w:spacing w:val="-6"/>
                <w:szCs w:val="24"/>
              </w:rPr>
              <w:t>360</w:t>
            </w:r>
            <w:r w:rsidRPr="005B6045">
              <w:rPr>
                <w:rFonts w:ascii="Times New Roman" w:eastAsia="標楷體" w:hAnsi="Times New Roman" w:cs="Times New Roman"/>
                <w:spacing w:val="-6"/>
                <w:szCs w:val="24"/>
              </w:rPr>
              <w:t>元；國民小學每節新臺幣</w:t>
            </w:r>
            <w:r w:rsidRPr="005B6045">
              <w:rPr>
                <w:rFonts w:ascii="Times New Roman" w:eastAsia="標楷體" w:hAnsi="Times New Roman" w:cs="Times New Roman"/>
                <w:spacing w:val="-6"/>
                <w:szCs w:val="24"/>
              </w:rPr>
              <w:t>260</w:t>
            </w:r>
            <w:r w:rsidRPr="005B6045">
              <w:rPr>
                <w:rFonts w:ascii="Times New Roman" w:eastAsia="標楷體" w:hAnsi="Times New Roman" w:cs="Times New Roman"/>
                <w:spacing w:val="-6"/>
                <w:szCs w:val="24"/>
              </w:rPr>
              <w:t>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E545C1">
        <w:trPr>
          <w:trHeight w:val="844"/>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教育優先區計畫（課後及住校生夜間學習輔導）</w:t>
            </w:r>
          </w:p>
        </w:tc>
        <w:tc>
          <w:tcPr>
            <w:tcW w:w="2331"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bCs/>
                <w:spacing w:val="-6"/>
                <w:szCs w:val="24"/>
              </w:rPr>
            </w:pPr>
            <w:r w:rsidRPr="005B6045">
              <w:rPr>
                <w:rFonts w:ascii="Times New Roman" w:eastAsia="標楷體" w:hAnsi="Times New Roman" w:cs="Times New Roman"/>
                <w:spacing w:val="-6"/>
                <w:szCs w:val="24"/>
              </w:rPr>
              <w:t>教育優先區原住民及離島地區學校辦理學生學習輔導補助原則</w:t>
            </w:r>
          </w:p>
        </w:tc>
        <w:tc>
          <w:tcPr>
            <w:tcW w:w="2735"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國民中學每節新臺幣</w:t>
            </w:r>
            <w:r w:rsidRPr="005B6045">
              <w:rPr>
                <w:rFonts w:ascii="Times New Roman" w:eastAsia="標楷體" w:hAnsi="Times New Roman" w:cs="Times New Roman"/>
                <w:spacing w:val="-6"/>
                <w:szCs w:val="24"/>
              </w:rPr>
              <w:t>360</w:t>
            </w:r>
            <w:r w:rsidRPr="005B6045">
              <w:rPr>
                <w:rFonts w:ascii="Times New Roman" w:eastAsia="標楷體" w:hAnsi="Times New Roman" w:cs="Times New Roman"/>
                <w:spacing w:val="-6"/>
                <w:szCs w:val="24"/>
              </w:rPr>
              <w:t>元；國民小學每節新臺幣</w:t>
            </w:r>
            <w:r w:rsidRPr="005B6045">
              <w:rPr>
                <w:rFonts w:ascii="Times New Roman" w:eastAsia="標楷體" w:hAnsi="Times New Roman" w:cs="Times New Roman"/>
                <w:spacing w:val="-6"/>
                <w:szCs w:val="24"/>
              </w:rPr>
              <w:t>260</w:t>
            </w:r>
            <w:r w:rsidRPr="005B6045">
              <w:rPr>
                <w:rFonts w:ascii="Times New Roman" w:eastAsia="標楷體" w:hAnsi="Times New Roman" w:cs="Times New Roman"/>
                <w:spacing w:val="-6"/>
                <w:szCs w:val="24"/>
              </w:rPr>
              <w:t>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915EB8">
        <w:trPr>
          <w:trHeight w:val="844"/>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成人基本教育研習班</w:t>
            </w:r>
          </w:p>
        </w:tc>
        <w:tc>
          <w:tcPr>
            <w:tcW w:w="2331"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bCs/>
                <w:spacing w:val="-6"/>
                <w:szCs w:val="24"/>
              </w:rPr>
            </w:pPr>
            <w:r w:rsidRPr="005B6045">
              <w:rPr>
                <w:rFonts w:ascii="Times New Roman" w:eastAsia="標楷體" w:hAnsi="Times New Roman" w:cs="Times New Roman"/>
                <w:bCs/>
                <w:spacing w:val="-6"/>
                <w:szCs w:val="24"/>
              </w:rPr>
              <w:t>教育部補助辦理成人基本教育實施原則</w:t>
            </w:r>
          </w:p>
        </w:tc>
        <w:tc>
          <w:tcPr>
            <w:tcW w:w="2735"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每節新臺幣</w:t>
            </w:r>
            <w:r w:rsidRPr="005B6045">
              <w:rPr>
                <w:rFonts w:ascii="Times New Roman" w:eastAsia="標楷體" w:hAnsi="Times New Roman" w:cs="Times New Roman"/>
                <w:spacing w:val="-6"/>
                <w:szCs w:val="24"/>
              </w:rPr>
              <w:t>400</w:t>
            </w:r>
            <w:r w:rsidRPr="005B6045">
              <w:rPr>
                <w:rFonts w:ascii="Times New Roman" w:eastAsia="標楷體" w:hAnsi="Times New Roman" w:cs="Times New Roman"/>
                <w:spacing w:val="-6"/>
                <w:szCs w:val="24"/>
              </w:rPr>
              <w:t>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r w:rsidR="009114EF" w:rsidRPr="005B6045" w:rsidTr="00915EB8">
        <w:trPr>
          <w:trHeight w:val="844"/>
        </w:trPr>
        <w:tc>
          <w:tcPr>
            <w:tcW w:w="803" w:type="dxa"/>
            <w:vMerge/>
            <w:vAlign w:val="center"/>
          </w:tcPr>
          <w:p w:rsidR="009114EF" w:rsidRPr="005B6045" w:rsidRDefault="009114EF" w:rsidP="009114EF">
            <w:pPr>
              <w:spacing w:line="360" w:lineRule="exact"/>
              <w:jc w:val="center"/>
              <w:rPr>
                <w:rFonts w:ascii="標楷體" w:eastAsia="標楷體" w:hAnsi="標楷體"/>
                <w:szCs w:val="24"/>
              </w:rPr>
            </w:pPr>
          </w:p>
        </w:tc>
        <w:tc>
          <w:tcPr>
            <w:tcW w:w="2242"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高中職重（補）修</w:t>
            </w:r>
          </w:p>
        </w:tc>
        <w:tc>
          <w:tcPr>
            <w:tcW w:w="2331" w:type="dxa"/>
            <w:vAlign w:val="center"/>
          </w:tcPr>
          <w:p w:rsidR="009114EF" w:rsidRPr="005B6045" w:rsidRDefault="009114EF" w:rsidP="009114EF">
            <w:pPr>
              <w:spacing w:line="360" w:lineRule="exact"/>
              <w:ind w:left="176" w:rightChars="40" w:right="96" w:hangingChars="77" w:hanging="176"/>
              <w:jc w:val="both"/>
              <w:rPr>
                <w:rFonts w:ascii="Times New Roman" w:eastAsia="標楷體" w:hAnsi="Times New Roman" w:cs="Times New Roman"/>
                <w:bCs/>
                <w:spacing w:val="-6"/>
                <w:szCs w:val="24"/>
              </w:rPr>
            </w:pPr>
            <w:r w:rsidRPr="005B6045">
              <w:rPr>
                <w:rFonts w:ascii="Times New Roman" w:eastAsia="標楷體" w:hAnsi="Times New Roman" w:cs="Times New Roman" w:hint="eastAsia"/>
                <w:bCs/>
                <w:spacing w:val="-6"/>
                <w:szCs w:val="24"/>
              </w:rPr>
              <w:t>1.</w:t>
            </w:r>
            <w:r w:rsidRPr="005B6045">
              <w:rPr>
                <w:rFonts w:ascii="Times New Roman" w:eastAsia="標楷體" w:hAnsi="Times New Roman" w:cs="Times New Roman" w:hint="eastAsia"/>
                <w:bCs/>
                <w:spacing w:val="-6"/>
                <w:szCs w:val="24"/>
              </w:rPr>
              <w:t>教育部主管</w:t>
            </w:r>
            <w:r w:rsidRPr="005B6045">
              <w:rPr>
                <w:rFonts w:ascii="Times New Roman" w:eastAsia="標楷體" w:hAnsi="Times New Roman" w:cs="Times New Roman"/>
                <w:bCs/>
                <w:spacing w:val="-6"/>
                <w:szCs w:val="24"/>
              </w:rPr>
              <w:t>高級中</w:t>
            </w:r>
            <w:r w:rsidRPr="005B6045">
              <w:rPr>
                <w:rFonts w:ascii="Times New Roman" w:eastAsia="標楷體" w:hAnsi="Times New Roman" w:cs="Times New Roman" w:hint="eastAsia"/>
                <w:bCs/>
                <w:spacing w:val="-6"/>
                <w:szCs w:val="24"/>
              </w:rPr>
              <w:t>等</w:t>
            </w:r>
            <w:r w:rsidRPr="005B6045">
              <w:rPr>
                <w:rFonts w:ascii="Times New Roman" w:eastAsia="標楷體" w:hAnsi="Times New Roman" w:cs="Times New Roman"/>
                <w:bCs/>
                <w:spacing w:val="-6"/>
                <w:szCs w:val="24"/>
              </w:rPr>
              <w:t>學</w:t>
            </w:r>
            <w:r w:rsidRPr="005B6045">
              <w:rPr>
                <w:rFonts w:ascii="Times New Roman" w:eastAsia="標楷體" w:hAnsi="Times New Roman" w:cs="Times New Roman" w:hint="eastAsia"/>
                <w:bCs/>
                <w:spacing w:val="-6"/>
                <w:szCs w:val="24"/>
              </w:rPr>
              <w:t>校</w:t>
            </w:r>
            <w:r w:rsidRPr="005B6045">
              <w:rPr>
                <w:rFonts w:ascii="Times New Roman" w:eastAsia="標楷體" w:hAnsi="Times New Roman" w:cs="Times New Roman"/>
                <w:bCs/>
                <w:spacing w:val="-6"/>
                <w:szCs w:val="24"/>
              </w:rPr>
              <w:t>學生重修</w:t>
            </w:r>
            <w:r w:rsidRPr="005B6045">
              <w:rPr>
                <w:rFonts w:ascii="Times New Roman" w:eastAsia="標楷體" w:hAnsi="Times New Roman" w:cs="Times New Roman" w:hint="eastAsia"/>
                <w:bCs/>
                <w:spacing w:val="-6"/>
                <w:szCs w:val="24"/>
              </w:rPr>
              <w:t>及補修</w:t>
            </w:r>
            <w:r w:rsidRPr="005B6045">
              <w:rPr>
                <w:rFonts w:ascii="Times New Roman" w:eastAsia="標楷體" w:hAnsi="Times New Roman" w:cs="Times New Roman"/>
                <w:bCs/>
                <w:spacing w:val="-6"/>
                <w:szCs w:val="24"/>
              </w:rPr>
              <w:t>學分補充規定</w:t>
            </w:r>
          </w:p>
          <w:p w:rsidR="009114EF" w:rsidRPr="005B6045" w:rsidRDefault="009114EF" w:rsidP="009114EF">
            <w:pPr>
              <w:spacing w:line="360" w:lineRule="exact"/>
              <w:ind w:left="176" w:rightChars="40" w:right="96" w:hangingChars="77" w:hanging="176"/>
              <w:jc w:val="both"/>
              <w:rPr>
                <w:rFonts w:ascii="Times New Roman" w:eastAsia="標楷體" w:hAnsi="Times New Roman" w:cs="Times New Roman"/>
                <w:bCs/>
                <w:spacing w:val="-6"/>
                <w:szCs w:val="24"/>
              </w:rPr>
            </w:pPr>
            <w:r w:rsidRPr="005B6045">
              <w:rPr>
                <w:rFonts w:ascii="Times New Roman" w:eastAsia="標楷體" w:hAnsi="Times New Roman" w:cs="Times New Roman" w:hint="eastAsia"/>
                <w:bCs/>
                <w:spacing w:val="-6"/>
                <w:szCs w:val="24"/>
              </w:rPr>
              <w:t>2.</w:t>
            </w:r>
            <w:r w:rsidRPr="005B6045">
              <w:rPr>
                <w:rFonts w:ascii="Times New Roman" w:eastAsia="標楷體" w:hAnsi="Times New Roman" w:cs="Times New Roman" w:hint="eastAsia"/>
                <w:bCs/>
                <w:spacing w:val="-6"/>
                <w:szCs w:val="24"/>
              </w:rPr>
              <w:t>臺北市公私立高級中學學生重修學分實施要點</w:t>
            </w:r>
          </w:p>
          <w:p w:rsidR="009114EF" w:rsidRPr="005B6045" w:rsidRDefault="009114EF" w:rsidP="009114EF">
            <w:pPr>
              <w:spacing w:line="360" w:lineRule="exact"/>
              <w:ind w:left="176" w:rightChars="40" w:right="96" w:hangingChars="77" w:hanging="176"/>
              <w:jc w:val="both"/>
              <w:rPr>
                <w:rFonts w:ascii="Times New Roman" w:eastAsia="標楷體" w:hAnsi="Times New Roman" w:cs="Times New Roman"/>
                <w:bCs/>
                <w:spacing w:val="-6"/>
                <w:szCs w:val="24"/>
              </w:rPr>
            </w:pPr>
            <w:r w:rsidRPr="005B6045">
              <w:rPr>
                <w:rFonts w:ascii="Times New Roman" w:eastAsia="標楷體" w:hAnsi="Times New Roman" w:cs="Times New Roman" w:hint="eastAsia"/>
                <w:bCs/>
                <w:spacing w:val="-6"/>
                <w:szCs w:val="24"/>
              </w:rPr>
              <w:t>3.</w:t>
            </w:r>
            <w:r w:rsidRPr="005B6045">
              <w:rPr>
                <w:rFonts w:ascii="Times New Roman" w:eastAsia="標楷體" w:hAnsi="Times New Roman" w:cs="Times New Roman" w:hint="eastAsia"/>
                <w:bCs/>
                <w:spacing w:val="-6"/>
                <w:szCs w:val="24"/>
              </w:rPr>
              <w:t>臺北市職業學校學生重修學分實施要點</w:t>
            </w:r>
          </w:p>
          <w:p w:rsidR="009114EF" w:rsidRPr="005B6045" w:rsidRDefault="009114EF" w:rsidP="009114EF">
            <w:pPr>
              <w:spacing w:line="360" w:lineRule="exact"/>
              <w:ind w:left="176" w:rightChars="40" w:right="96" w:hangingChars="77" w:hanging="176"/>
              <w:jc w:val="both"/>
              <w:rPr>
                <w:rFonts w:ascii="Times New Roman" w:eastAsia="標楷體" w:hAnsi="Times New Roman" w:cs="Times New Roman"/>
                <w:bCs/>
                <w:spacing w:val="-6"/>
                <w:szCs w:val="24"/>
              </w:rPr>
            </w:pPr>
            <w:r w:rsidRPr="005B6045">
              <w:rPr>
                <w:rFonts w:ascii="Times New Roman" w:eastAsia="標楷體" w:hAnsi="Times New Roman" w:cs="Times New Roman" w:hint="eastAsia"/>
                <w:bCs/>
                <w:spacing w:val="-6"/>
                <w:szCs w:val="24"/>
              </w:rPr>
              <w:t>4.</w:t>
            </w:r>
            <w:r w:rsidRPr="005B6045">
              <w:rPr>
                <w:rFonts w:ascii="Times New Roman" w:eastAsia="標楷體" w:hAnsi="Times New Roman" w:cs="Times New Roman" w:hint="eastAsia"/>
                <w:bCs/>
                <w:spacing w:val="-6"/>
                <w:szCs w:val="24"/>
              </w:rPr>
              <w:t>新北市公私立高級中等學校學生重修學分實施要點</w:t>
            </w:r>
          </w:p>
          <w:p w:rsidR="009114EF" w:rsidRPr="005B6045" w:rsidRDefault="009114EF" w:rsidP="009114EF">
            <w:pPr>
              <w:spacing w:line="360" w:lineRule="exact"/>
              <w:ind w:left="176" w:rightChars="40" w:right="96" w:hangingChars="77" w:hanging="176"/>
              <w:jc w:val="both"/>
              <w:rPr>
                <w:rFonts w:ascii="Times New Roman" w:eastAsia="標楷體" w:hAnsi="Times New Roman" w:cs="Times New Roman"/>
                <w:bCs/>
                <w:spacing w:val="-6"/>
                <w:szCs w:val="24"/>
              </w:rPr>
            </w:pPr>
            <w:r w:rsidRPr="005B6045">
              <w:rPr>
                <w:rFonts w:ascii="Times New Roman" w:eastAsia="標楷體" w:hAnsi="Times New Roman" w:cs="Times New Roman" w:hint="eastAsia"/>
                <w:bCs/>
                <w:spacing w:val="-6"/>
                <w:szCs w:val="24"/>
              </w:rPr>
              <w:t>5.</w:t>
            </w:r>
            <w:r w:rsidRPr="005B6045">
              <w:rPr>
                <w:rFonts w:ascii="Times New Roman" w:eastAsia="標楷體" w:hAnsi="Times New Roman" w:cs="Times New Roman"/>
                <w:bCs/>
                <w:spacing w:val="-6"/>
                <w:szCs w:val="24"/>
              </w:rPr>
              <w:t>高雄市高級中等學校學生重修處理原則</w:t>
            </w:r>
          </w:p>
          <w:p w:rsidR="009114EF" w:rsidRPr="005B6045" w:rsidRDefault="009114EF" w:rsidP="009114EF">
            <w:pPr>
              <w:spacing w:line="360" w:lineRule="exact"/>
              <w:ind w:left="176" w:rightChars="40" w:right="96" w:hangingChars="77" w:hanging="176"/>
              <w:jc w:val="both"/>
              <w:rPr>
                <w:rFonts w:ascii="Times New Roman" w:eastAsia="標楷體" w:hAnsi="Times New Roman" w:cs="Times New Roman"/>
                <w:bCs/>
                <w:spacing w:val="-6"/>
                <w:szCs w:val="24"/>
              </w:rPr>
            </w:pPr>
            <w:r w:rsidRPr="005B6045">
              <w:rPr>
                <w:rFonts w:ascii="Times New Roman" w:eastAsia="標楷體" w:hAnsi="Times New Roman" w:cs="Times New Roman" w:hint="eastAsia"/>
                <w:bCs/>
                <w:spacing w:val="-6"/>
                <w:szCs w:val="24"/>
              </w:rPr>
              <w:t>6.</w:t>
            </w:r>
            <w:r w:rsidRPr="005B6045">
              <w:rPr>
                <w:rFonts w:ascii="標楷體" w:eastAsia="標楷體" w:hAnsi="標楷體" w:hint="eastAsia"/>
                <w:szCs w:val="24"/>
              </w:rPr>
              <w:t>各主管教育行政機關所定重修及補修學分相關規定</w:t>
            </w:r>
          </w:p>
        </w:tc>
        <w:tc>
          <w:tcPr>
            <w:tcW w:w="2735" w:type="dxa"/>
            <w:vAlign w:val="center"/>
          </w:tcPr>
          <w:p w:rsidR="009114EF" w:rsidRPr="005B6045" w:rsidRDefault="009114EF" w:rsidP="009114EF">
            <w:pPr>
              <w:spacing w:line="360" w:lineRule="exact"/>
              <w:ind w:rightChars="40" w:right="96"/>
              <w:jc w:val="both"/>
              <w:rPr>
                <w:rFonts w:ascii="Times New Roman" w:eastAsia="標楷體" w:hAnsi="Times New Roman" w:cs="Times New Roman"/>
                <w:spacing w:val="-6"/>
                <w:szCs w:val="24"/>
              </w:rPr>
            </w:pPr>
            <w:r w:rsidRPr="005B6045">
              <w:rPr>
                <w:rFonts w:ascii="Times New Roman" w:eastAsia="標楷體" w:hAnsi="Times New Roman" w:cs="Times New Roman"/>
                <w:spacing w:val="-6"/>
                <w:szCs w:val="24"/>
              </w:rPr>
              <w:t>每節新臺幣</w:t>
            </w:r>
            <w:r w:rsidRPr="005B6045">
              <w:rPr>
                <w:rFonts w:ascii="Times New Roman" w:eastAsia="標楷體" w:hAnsi="Times New Roman" w:cs="Times New Roman"/>
                <w:spacing w:val="-6"/>
                <w:szCs w:val="24"/>
              </w:rPr>
              <w:t>400</w:t>
            </w:r>
            <w:r w:rsidRPr="005B6045">
              <w:rPr>
                <w:rFonts w:ascii="Times New Roman" w:eastAsia="標楷體" w:hAnsi="Times New Roman" w:cs="Times New Roman"/>
                <w:spacing w:val="-6"/>
                <w:szCs w:val="24"/>
              </w:rPr>
              <w:t>元至</w:t>
            </w:r>
            <w:r w:rsidRPr="005B6045">
              <w:rPr>
                <w:rFonts w:ascii="Times New Roman" w:eastAsia="標楷體" w:hAnsi="Times New Roman" w:cs="Times New Roman"/>
                <w:spacing w:val="-6"/>
                <w:szCs w:val="24"/>
              </w:rPr>
              <w:t>550</w:t>
            </w:r>
            <w:r w:rsidRPr="005B6045">
              <w:rPr>
                <w:rFonts w:ascii="Times New Roman" w:eastAsia="標楷體" w:hAnsi="Times New Roman" w:cs="Times New Roman"/>
                <w:spacing w:val="-6"/>
                <w:szCs w:val="24"/>
              </w:rPr>
              <w:t>元</w:t>
            </w:r>
          </w:p>
        </w:tc>
        <w:tc>
          <w:tcPr>
            <w:tcW w:w="2651" w:type="dxa"/>
            <w:vAlign w:val="center"/>
          </w:tcPr>
          <w:p w:rsidR="009114EF" w:rsidRPr="006175DA" w:rsidRDefault="009114EF" w:rsidP="009114EF">
            <w:pPr>
              <w:spacing w:line="360" w:lineRule="exact"/>
              <w:ind w:rightChars="40" w:right="96"/>
              <w:jc w:val="both"/>
              <w:rPr>
                <w:rFonts w:ascii="Times New Roman" w:eastAsia="標楷體" w:hAnsi="Times New Roman" w:cs="Times New Roman"/>
                <w:spacing w:val="-6"/>
                <w:szCs w:val="24"/>
              </w:rPr>
            </w:pPr>
            <w:r w:rsidRPr="006175DA">
              <w:rPr>
                <w:rFonts w:ascii="標楷體" w:eastAsia="標楷體" w:hAnsi="標楷體" w:hint="eastAsia"/>
                <w:szCs w:val="24"/>
              </w:rPr>
              <w:t>未修正</w:t>
            </w:r>
          </w:p>
        </w:tc>
      </w:tr>
    </w:tbl>
    <w:p w:rsidR="00A668A4" w:rsidRPr="004F71C7" w:rsidRDefault="00A668A4" w:rsidP="005B6045">
      <w:pPr>
        <w:spacing w:beforeLines="50" w:before="180" w:line="300" w:lineRule="exact"/>
        <w:rPr>
          <w:rFonts w:ascii="標楷體" w:eastAsia="標楷體" w:hAnsi="標楷體"/>
          <w:szCs w:val="24"/>
        </w:rPr>
      </w:pPr>
      <w:r w:rsidRPr="004F71C7">
        <w:rPr>
          <w:rFonts w:ascii="標楷體" w:eastAsia="標楷體" w:hAnsi="標楷體" w:hint="eastAsia"/>
          <w:szCs w:val="24"/>
        </w:rPr>
        <w:t>註：1.各項鐘點費均以學校下班時間執行職務支領時為限。</w:t>
      </w:r>
    </w:p>
    <w:p w:rsidR="00A071F7" w:rsidRPr="005B6045" w:rsidRDefault="00A668A4" w:rsidP="00680CFD">
      <w:pPr>
        <w:spacing w:line="300" w:lineRule="exact"/>
        <w:ind w:leftChars="200" w:left="708" w:hangingChars="95" w:hanging="228"/>
        <w:rPr>
          <w:rFonts w:ascii="標楷體" w:eastAsia="標楷體" w:hAnsi="標楷體"/>
          <w:szCs w:val="24"/>
        </w:rPr>
      </w:pPr>
      <w:r w:rsidRPr="004F71C7">
        <w:rPr>
          <w:rFonts w:ascii="標楷體" w:eastAsia="標楷體" w:hAnsi="標楷體" w:hint="eastAsia"/>
          <w:szCs w:val="24"/>
        </w:rPr>
        <w:t>2.補習及進修學校教師鐘點費，以原校教師兼任時為限</w:t>
      </w:r>
      <w:r w:rsidR="00AC11DF">
        <w:rPr>
          <w:rFonts w:ascii="標楷體" w:eastAsia="標楷體" w:hAnsi="標楷體" w:hint="eastAsia"/>
          <w:szCs w:val="24"/>
        </w:rPr>
        <w:t>。</w:t>
      </w:r>
      <w:r w:rsidR="00AC11DF" w:rsidRPr="005B6045">
        <w:rPr>
          <w:rFonts w:ascii="標楷體" w:eastAsia="標楷體" w:hAnsi="標楷體" w:hint="eastAsia"/>
          <w:szCs w:val="24"/>
        </w:rPr>
        <w:t>另依財政部103年4月29日台財稅字第10200731540函規定，各國立高級中等學校附設進修學校教師於其下班時間至原校之日間授課支領之鐘點費，同意免納所得稅。</w:t>
      </w:r>
    </w:p>
    <w:sectPr w:rsidR="00A071F7" w:rsidRPr="005B6045" w:rsidSect="004F71C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E6" w:rsidRDefault="00F310E6" w:rsidP="00816320">
      <w:r>
        <w:separator/>
      </w:r>
    </w:p>
  </w:endnote>
  <w:endnote w:type="continuationSeparator" w:id="0">
    <w:p w:rsidR="00F310E6" w:rsidRDefault="00F310E6" w:rsidP="0081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E6" w:rsidRDefault="00F310E6" w:rsidP="00816320">
      <w:r>
        <w:separator/>
      </w:r>
    </w:p>
  </w:footnote>
  <w:footnote w:type="continuationSeparator" w:id="0">
    <w:p w:rsidR="00F310E6" w:rsidRDefault="00F310E6" w:rsidP="00816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1934"/>
    <w:multiLevelType w:val="hybridMultilevel"/>
    <w:tmpl w:val="454A7EF0"/>
    <w:lvl w:ilvl="0" w:tplc="4B2658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FE3C7F"/>
    <w:multiLevelType w:val="hybridMultilevel"/>
    <w:tmpl w:val="5B203FDE"/>
    <w:lvl w:ilvl="0" w:tplc="CEB8E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A54D96"/>
    <w:multiLevelType w:val="hybridMultilevel"/>
    <w:tmpl w:val="A0789DD4"/>
    <w:lvl w:ilvl="0" w:tplc="BA4C9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3E632C"/>
    <w:multiLevelType w:val="hybridMultilevel"/>
    <w:tmpl w:val="923EEE54"/>
    <w:lvl w:ilvl="0" w:tplc="0D084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AF7B6F"/>
    <w:multiLevelType w:val="hybridMultilevel"/>
    <w:tmpl w:val="9A4CDBC6"/>
    <w:lvl w:ilvl="0" w:tplc="AF7C9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F7"/>
    <w:rsid w:val="0000227B"/>
    <w:rsid w:val="00016AA8"/>
    <w:rsid w:val="000D37F4"/>
    <w:rsid w:val="001012E2"/>
    <w:rsid w:val="00240507"/>
    <w:rsid w:val="00261EF0"/>
    <w:rsid w:val="00344867"/>
    <w:rsid w:val="003960AF"/>
    <w:rsid w:val="003A32D2"/>
    <w:rsid w:val="0042522E"/>
    <w:rsid w:val="00444FB2"/>
    <w:rsid w:val="00476254"/>
    <w:rsid w:val="0047754A"/>
    <w:rsid w:val="004A6094"/>
    <w:rsid w:val="004B0CEC"/>
    <w:rsid w:val="004F71C7"/>
    <w:rsid w:val="005B6045"/>
    <w:rsid w:val="005E2A36"/>
    <w:rsid w:val="006175DA"/>
    <w:rsid w:val="00680CFD"/>
    <w:rsid w:val="006D7ED8"/>
    <w:rsid w:val="00745004"/>
    <w:rsid w:val="007548BE"/>
    <w:rsid w:val="00773E10"/>
    <w:rsid w:val="00780D00"/>
    <w:rsid w:val="007B4DE3"/>
    <w:rsid w:val="00816320"/>
    <w:rsid w:val="00897056"/>
    <w:rsid w:val="008C4039"/>
    <w:rsid w:val="00903174"/>
    <w:rsid w:val="009114EF"/>
    <w:rsid w:val="009461EC"/>
    <w:rsid w:val="00A071F7"/>
    <w:rsid w:val="00A668A4"/>
    <w:rsid w:val="00AB3691"/>
    <w:rsid w:val="00AC11DF"/>
    <w:rsid w:val="00B12C0B"/>
    <w:rsid w:val="00BC1A01"/>
    <w:rsid w:val="00C06D41"/>
    <w:rsid w:val="00C623FB"/>
    <w:rsid w:val="00C93E82"/>
    <w:rsid w:val="00CD0EBA"/>
    <w:rsid w:val="00D172D0"/>
    <w:rsid w:val="00DF59E2"/>
    <w:rsid w:val="00E714E1"/>
    <w:rsid w:val="00E72785"/>
    <w:rsid w:val="00EA4086"/>
    <w:rsid w:val="00EA79C6"/>
    <w:rsid w:val="00EE425D"/>
    <w:rsid w:val="00F06E2E"/>
    <w:rsid w:val="00F310E6"/>
    <w:rsid w:val="00F540D1"/>
    <w:rsid w:val="00F70416"/>
    <w:rsid w:val="00F71593"/>
    <w:rsid w:val="00F953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20E76-59DF-48CB-8725-F6982667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6320"/>
    <w:pPr>
      <w:tabs>
        <w:tab w:val="center" w:pos="4153"/>
        <w:tab w:val="right" w:pos="8306"/>
      </w:tabs>
      <w:snapToGrid w:val="0"/>
    </w:pPr>
    <w:rPr>
      <w:sz w:val="20"/>
      <w:szCs w:val="20"/>
    </w:rPr>
  </w:style>
  <w:style w:type="character" w:customStyle="1" w:styleId="a5">
    <w:name w:val="頁首 字元"/>
    <w:basedOn w:val="a0"/>
    <w:link w:val="a4"/>
    <w:uiPriority w:val="99"/>
    <w:rsid w:val="00816320"/>
    <w:rPr>
      <w:sz w:val="20"/>
      <w:szCs w:val="20"/>
    </w:rPr>
  </w:style>
  <w:style w:type="paragraph" w:styleId="a6">
    <w:name w:val="footer"/>
    <w:basedOn w:val="a"/>
    <w:link w:val="a7"/>
    <w:uiPriority w:val="99"/>
    <w:unhideWhenUsed/>
    <w:rsid w:val="00816320"/>
    <w:pPr>
      <w:tabs>
        <w:tab w:val="center" w:pos="4153"/>
        <w:tab w:val="right" w:pos="8306"/>
      </w:tabs>
      <w:snapToGrid w:val="0"/>
    </w:pPr>
    <w:rPr>
      <w:sz w:val="20"/>
      <w:szCs w:val="20"/>
    </w:rPr>
  </w:style>
  <w:style w:type="character" w:customStyle="1" w:styleId="a7">
    <w:name w:val="頁尾 字元"/>
    <w:basedOn w:val="a0"/>
    <w:link w:val="a6"/>
    <w:uiPriority w:val="99"/>
    <w:rsid w:val="00816320"/>
    <w:rPr>
      <w:sz w:val="20"/>
      <w:szCs w:val="20"/>
    </w:rPr>
  </w:style>
  <w:style w:type="paragraph" w:styleId="a8">
    <w:name w:val="List Paragraph"/>
    <w:basedOn w:val="a"/>
    <w:uiPriority w:val="34"/>
    <w:qFormat/>
    <w:rsid w:val="005E2A36"/>
    <w:pPr>
      <w:ind w:leftChars="200" w:left="480"/>
    </w:pPr>
  </w:style>
  <w:style w:type="paragraph" w:customStyle="1" w:styleId="Default">
    <w:name w:val="Default"/>
    <w:rsid w:val="005E2A3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2017-12-13T02:16:00Z</dcterms:created>
  <dcterms:modified xsi:type="dcterms:W3CDTF">2017-12-13T02:16:00Z</dcterms:modified>
</cp:coreProperties>
</file>